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0E0F21DA" w:rsidR="00F110CD" w:rsidRPr="00AC6AF3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DD31A8">
        <w:rPr>
          <w:bCs/>
          <w:noProof w:val="0"/>
          <w:sz w:val="24"/>
          <w:szCs w:val="24"/>
        </w:rPr>
        <w:t>4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BA1872" w:rsidRPr="00A1678B">
        <w:rPr>
          <w:bCs/>
          <w:noProof w:val="0"/>
          <w:sz w:val="24"/>
          <w:szCs w:val="24"/>
          <w:lang w:val="de-DE"/>
        </w:rPr>
        <w:t>R1-</w:t>
      </w:r>
      <w:r w:rsidR="003C66C4" w:rsidRPr="003C66C4">
        <w:rPr>
          <w:bCs/>
          <w:noProof w:val="0"/>
          <w:sz w:val="24"/>
          <w:szCs w:val="24"/>
          <w:lang w:val="de-DE"/>
        </w:rPr>
        <w:t>230</w:t>
      </w:r>
      <w:r w:rsidR="00A128E4">
        <w:rPr>
          <w:bCs/>
          <w:noProof w:val="0"/>
          <w:sz w:val="24"/>
          <w:szCs w:val="24"/>
          <w:lang w:val="de-DE"/>
        </w:rPr>
        <w:t>6597</w:t>
      </w:r>
    </w:p>
    <w:bookmarkEnd w:id="0"/>
    <w:p w14:paraId="20CC60C7" w14:textId="761F76FF" w:rsidR="00AC6AF3" w:rsidRDefault="00DD31A8" w:rsidP="16512788">
      <w:pPr>
        <w:pStyle w:val="CRCoverPage"/>
        <w:rPr>
          <w:rFonts w:cs="Arial"/>
          <w:b/>
          <w:bCs/>
          <w:sz w:val="24"/>
          <w:szCs w:val="24"/>
        </w:rPr>
      </w:pPr>
      <w:r w:rsidRPr="00DD31A8">
        <w:rPr>
          <w:rFonts w:cs="Arial"/>
          <w:b/>
          <w:bCs/>
          <w:sz w:val="24"/>
          <w:szCs w:val="24"/>
        </w:rPr>
        <w:t xml:space="preserve">Toulouse, France, 21st – 25th </w:t>
      </w:r>
      <w:proofErr w:type="gramStart"/>
      <w:r w:rsidRPr="00DD31A8">
        <w:rPr>
          <w:rFonts w:cs="Arial"/>
          <w:b/>
          <w:bCs/>
          <w:sz w:val="24"/>
          <w:szCs w:val="24"/>
        </w:rPr>
        <w:t>August,</w:t>
      </w:r>
      <w:proofErr w:type="gramEnd"/>
      <w:r w:rsidRPr="00DD31A8">
        <w:rPr>
          <w:rFonts w:cs="Arial"/>
          <w:b/>
          <w:bCs/>
          <w:sz w:val="24"/>
          <w:szCs w:val="24"/>
        </w:rPr>
        <w:t xml:space="preserve"> 2023</w:t>
      </w:r>
    </w:p>
    <w:p w14:paraId="30251AD6" w14:textId="77777777" w:rsidR="00DD31A8" w:rsidRDefault="00DD31A8" w:rsidP="16512788">
      <w:pPr>
        <w:pStyle w:val="CRCoverPage"/>
        <w:rPr>
          <w:rFonts w:cs="Arial"/>
          <w:b/>
          <w:bCs/>
          <w:sz w:val="24"/>
          <w:szCs w:val="24"/>
        </w:rPr>
      </w:pPr>
    </w:p>
    <w:p w14:paraId="30E02941" w14:textId="25D5F089" w:rsidR="0034111C" w:rsidRPr="00FE4290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746F72">
        <w:rPr>
          <w:rFonts w:cs="Arial"/>
          <w:b/>
          <w:bCs/>
          <w:sz w:val="24"/>
          <w:szCs w:val="24"/>
        </w:rPr>
        <w:t>Agenda item:</w:t>
      </w:r>
      <w:r w:rsidRPr="00746F72">
        <w:rPr>
          <w:rFonts w:cs="Arial"/>
          <w:b/>
          <w:bCs/>
          <w:sz w:val="24"/>
        </w:rPr>
        <w:tab/>
      </w:r>
      <w:r w:rsidRPr="00746F72">
        <w:rPr>
          <w:rFonts w:cs="Arial"/>
          <w:b/>
          <w:bCs/>
          <w:sz w:val="24"/>
        </w:rPr>
        <w:tab/>
      </w:r>
      <w:r w:rsidR="00A613FC" w:rsidRPr="00746F72">
        <w:rPr>
          <w:rFonts w:cs="Arial"/>
          <w:b/>
          <w:bCs/>
          <w:sz w:val="24"/>
        </w:rPr>
        <w:t>9</w:t>
      </w:r>
      <w:r w:rsidR="001F201D" w:rsidRPr="00746F72">
        <w:rPr>
          <w:rFonts w:cs="Arial"/>
          <w:b/>
          <w:bCs/>
          <w:sz w:val="24"/>
          <w:szCs w:val="24"/>
        </w:rPr>
        <w:t>.</w:t>
      </w:r>
      <w:r w:rsidR="00A613FC" w:rsidRPr="00746F72">
        <w:rPr>
          <w:rFonts w:cs="Arial"/>
          <w:b/>
          <w:bCs/>
          <w:sz w:val="24"/>
          <w:szCs w:val="24"/>
        </w:rPr>
        <w:t>1</w:t>
      </w:r>
      <w:r w:rsidR="00AC6AF3" w:rsidRPr="00746F72">
        <w:rPr>
          <w:rFonts w:cs="Arial"/>
          <w:b/>
          <w:bCs/>
          <w:sz w:val="24"/>
          <w:szCs w:val="24"/>
        </w:rPr>
        <w:t>6</w:t>
      </w:r>
      <w:r w:rsidR="00A613FC" w:rsidRPr="00746F72">
        <w:rPr>
          <w:rFonts w:cs="Arial"/>
          <w:b/>
          <w:bCs/>
          <w:sz w:val="24"/>
          <w:szCs w:val="24"/>
        </w:rPr>
        <w:t>.</w:t>
      </w:r>
      <w:r w:rsidR="0061334A" w:rsidRPr="00746F72">
        <w:rPr>
          <w:rFonts w:cs="Arial"/>
          <w:b/>
          <w:bCs/>
          <w:sz w:val="24"/>
          <w:szCs w:val="24"/>
        </w:rPr>
        <w:t>1</w:t>
      </w:r>
      <w:r w:rsidR="00CE6E3E">
        <w:rPr>
          <w:rFonts w:cs="Arial"/>
          <w:b/>
          <w:bCs/>
          <w:sz w:val="24"/>
          <w:szCs w:val="24"/>
        </w:rPr>
        <w:t>5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255879C0" w14:textId="78599A1A" w:rsidR="00705D55" w:rsidRDefault="0034111C" w:rsidP="16512788">
      <w:pPr>
        <w:ind w:left="1985" w:hanging="1985"/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CE6E3E">
        <w:rPr>
          <w:rFonts w:ascii="Arial" w:hAnsi="Arial" w:cs="Arial"/>
          <w:b/>
          <w:bCs/>
          <w:sz w:val="24"/>
        </w:rPr>
        <w:t xml:space="preserve">Initial view on </w:t>
      </w:r>
      <w:r w:rsidR="00705D55" w:rsidRPr="00705D55">
        <w:rPr>
          <w:rFonts w:ascii="Arial" w:hAnsi="Arial" w:cs="Arial"/>
          <w:b/>
          <w:bCs/>
          <w:sz w:val="24"/>
        </w:rPr>
        <w:t xml:space="preserve">UE features for </w:t>
      </w:r>
      <w:r w:rsidR="00CE6E3E" w:rsidRPr="00CE6E3E">
        <w:rPr>
          <w:rFonts w:ascii="Arial" w:hAnsi="Arial" w:cs="Arial"/>
          <w:b/>
          <w:bCs/>
          <w:sz w:val="24"/>
        </w:rPr>
        <w:t>Further NR coverage enhancements</w:t>
      </w:r>
    </w:p>
    <w:p w14:paraId="7D97F0E4" w14:textId="0012F35C" w:rsidR="00BA562D" w:rsidRPr="00AC6AF3" w:rsidRDefault="00BA562D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WI code:</w:t>
      </w:r>
      <w:r>
        <w:rPr>
          <w:rFonts w:ascii="Arial" w:hAnsi="Arial" w:cs="Arial"/>
          <w:b/>
          <w:bCs/>
          <w:sz w:val="24"/>
        </w:rPr>
        <w:tab/>
      </w:r>
      <w:r w:rsidR="00CE6E3E" w:rsidRPr="00CE6E3E">
        <w:rPr>
          <w:rFonts w:ascii="Arial" w:hAnsi="Arial" w:cs="Arial"/>
          <w:b/>
          <w:bCs/>
          <w:sz w:val="24"/>
        </w:rPr>
        <w:t>NR_cov_enh2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090989">
      <w:pPr>
        <w:pStyle w:val="Heading1"/>
      </w:pPr>
      <w:r w:rsidRPr="0016316A">
        <w:t>Introduction</w:t>
      </w:r>
    </w:p>
    <w:p w14:paraId="5F21428B" w14:textId="05B89212" w:rsidR="00F20E5D" w:rsidRDefault="00CE6E3E" w:rsidP="00FE4290">
      <w:bookmarkStart w:id="1" w:name="_Hlk510705081"/>
      <w:r>
        <w:t xml:space="preserve">RAN1#114 is the first meeting to discuss the Coverage </w:t>
      </w:r>
      <w:r w:rsidR="00843498">
        <w:t>Enhancement</w:t>
      </w:r>
      <w:r>
        <w:t xml:space="preserve"> WI feature groups for Rel-18. This document provides our initial views on the FGs related to this WI.</w:t>
      </w:r>
    </w:p>
    <w:p w14:paraId="1BCCA8FE" w14:textId="56873290" w:rsidR="00DA4DD9" w:rsidRDefault="00DA4DD9" w:rsidP="00FE4290">
      <w:r>
        <w:t>The latest WI in [2] defines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4DD9" w14:paraId="4E2D5823" w14:textId="77777777" w:rsidTr="00DA4DD9">
        <w:tc>
          <w:tcPr>
            <w:tcW w:w="9629" w:type="dxa"/>
          </w:tcPr>
          <w:p w14:paraId="4F4FE856" w14:textId="77777777" w:rsidR="00DA4DD9" w:rsidRDefault="00DA4DD9" w:rsidP="00DA4DD9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rFonts w:eastAsia="Yu Mincho"/>
                <w:color w:val="0000FF"/>
              </w:rPr>
            </w:pPr>
            <w:r>
              <w:rPr>
                <w:rFonts w:eastAsia="Yu Mincho"/>
                <w:color w:val="0000FF"/>
              </w:rPr>
              <w:t>4.1</w:t>
            </w:r>
            <w:r>
              <w:rPr>
                <w:rFonts w:eastAsia="Yu Mincho"/>
                <w:color w:val="0000FF"/>
              </w:rPr>
              <w:tab/>
              <w:t>Objective of SI or Core part WI or Testing part WI</w:t>
            </w:r>
          </w:p>
          <w:p w14:paraId="47910FF2" w14:textId="77777777" w:rsidR="00DA4DD9" w:rsidRDefault="00DA4DD9" w:rsidP="00DA4DD9">
            <w:pPr>
              <w:jc w:val="both"/>
              <w:rPr>
                <w:rFonts w:eastAsia="Yu Mincho"/>
                <w:iCs/>
                <w:lang w:val="en-US"/>
              </w:rPr>
            </w:pPr>
            <w:r>
              <w:rPr>
                <w:iCs/>
                <w:lang w:val="en-US"/>
              </w:rPr>
              <w:t xml:space="preserve">The objective of this work item is to specify </w:t>
            </w:r>
            <w:r>
              <w:rPr>
                <w:iCs/>
                <w:lang w:val="en-US" w:eastAsia="zh-CN"/>
              </w:rPr>
              <w:t>further uplink coverage enhancements</w:t>
            </w:r>
            <w:r>
              <w:rPr>
                <w:iCs/>
                <w:lang w:val="en-US"/>
              </w:rPr>
              <w:t xml:space="preserve"> for PRACH, power domain</w:t>
            </w:r>
            <w:r>
              <w:rPr>
                <w:iCs/>
                <w:lang w:val="en-US" w:eastAsia="zh-CN"/>
              </w:rPr>
              <w:t xml:space="preserve"> and</w:t>
            </w:r>
            <w:r>
              <w:rPr>
                <w:iCs/>
                <w:lang w:val="en-US"/>
              </w:rPr>
              <w:t xml:space="preserve"> DFT-S-OFDM. </w:t>
            </w:r>
          </w:p>
          <w:p w14:paraId="231D958D" w14:textId="77777777" w:rsidR="00DA4DD9" w:rsidRDefault="00DA4DD9" w:rsidP="00DA4DD9">
            <w:pPr>
              <w:rPr>
                <w:iCs/>
                <w:lang w:val="en-US" w:eastAsia="zh-CN"/>
              </w:rPr>
            </w:pPr>
            <w:r>
              <w:rPr>
                <w:iCs/>
                <w:lang w:val="en-US"/>
              </w:rPr>
              <w:t>The detailed objectives of the work item are as follows:</w:t>
            </w:r>
          </w:p>
          <w:p w14:paraId="40FF0582" w14:textId="77777777" w:rsidR="00DA4DD9" w:rsidRDefault="00DA4DD9" w:rsidP="00DA4DD9">
            <w:pPr>
              <w:numPr>
                <w:ilvl w:val="0"/>
                <w:numId w:val="13"/>
              </w:numPr>
              <w:overflowPunct/>
              <w:autoSpaceDE/>
              <w:adjustRightInd/>
              <w:spacing w:before="120" w:after="120" w:line="276" w:lineRule="auto"/>
              <w:ind w:hanging="357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Specify following PRACH coverage enhancements (RAN1, RAN2)</w:t>
            </w:r>
          </w:p>
          <w:p w14:paraId="12832A6A" w14:textId="77777777" w:rsidR="00DA4DD9" w:rsidRDefault="00DA4DD9" w:rsidP="00DA4DD9">
            <w:pPr>
              <w:numPr>
                <w:ilvl w:val="1"/>
                <w:numId w:val="13"/>
              </w:numPr>
              <w:overflowPunct/>
              <w:autoSpaceDE/>
              <w:adjustRightInd/>
              <w:spacing w:before="120" w:after="120" w:line="276" w:lineRule="auto"/>
              <w:ind w:hanging="357"/>
              <w:jc w:val="both"/>
              <w:rPr>
                <w:lang w:eastAsia="zh-CN"/>
              </w:rPr>
            </w:pPr>
            <w:r>
              <w:rPr>
                <w:iCs/>
                <w:lang w:val="en-US"/>
              </w:rPr>
              <w:t xml:space="preserve">Multiple PRACH transmissions with same beams </w:t>
            </w:r>
            <w:r>
              <w:rPr>
                <w:iCs/>
                <w:lang w:val="en-US" w:eastAsia="zh-CN"/>
              </w:rPr>
              <w:t xml:space="preserve">for </w:t>
            </w:r>
            <w:r>
              <w:rPr>
                <w:iCs/>
                <w:lang w:val="en-US"/>
              </w:rPr>
              <w:t>4-step RACH procedure</w:t>
            </w:r>
          </w:p>
          <w:p w14:paraId="4CFEE459" w14:textId="77777777" w:rsidR="00DA4DD9" w:rsidRDefault="00DA4DD9" w:rsidP="00DA4DD9">
            <w:pPr>
              <w:numPr>
                <w:ilvl w:val="1"/>
                <w:numId w:val="13"/>
              </w:numPr>
              <w:overflowPunct/>
              <w:autoSpaceDE/>
              <w:adjustRightInd/>
              <w:spacing w:before="120" w:after="120" w:line="276" w:lineRule="auto"/>
              <w:ind w:hanging="357"/>
              <w:jc w:val="both"/>
              <w:rPr>
                <w:lang w:eastAsia="zh-CN"/>
              </w:rPr>
            </w:pPr>
            <w:r>
              <w:rPr>
                <w:iCs/>
                <w:lang w:val="en-US"/>
              </w:rPr>
              <w:t xml:space="preserve">Study, and if justified, specify PRACH transmissions with different beams </w:t>
            </w:r>
            <w:r>
              <w:rPr>
                <w:iCs/>
                <w:lang w:val="en-US" w:eastAsia="zh-CN"/>
              </w:rPr>
              <w:t xml:space="preserve">for </w:t>
            </w:r>
            <w:r>
              <w:rPr>
                <w:iCs/>
                <w:lang w:val="en-US"/>
              </w:rPr>
              <w:t xml:space="preserve">4-step RACH </w:t>
            </w:r>
            <w:proofErr w:type="gramStart"/>
            <w:r>
              <w:rPr>
                <w:iCs/>
                <w:lang w:val="en-US"/>
              </w:rPr>
              <w:t>procedure</w:t>
            </w:r>
            <w:proofErr w:type="gramEnd"/>
          </w:p>
          <w:p w14:paraId="698AFAE1" w14:textId="77777777" w:rsidR="00DA4DD9" w:rsidRDefault="00DA4DD9" w:rsidP="00DA4DD9">
            <w:pPr>
              <w:numPr>
                <w:ilvl w:val="1"/>
                <w:numId w:val="13"/>
              </w:numPr>
              <w:overflowPunct/>
              <w:autoSpaceDE/>
              <w:adjustRightInd/>
              <w:spacing w:before="120" w:after="120" w:line="276" w:lineRule="auto"/>
              <w:ind w:hanging="357"/>
              <w:jc w:val="both"/>
              <w:rPr>
                <w:lang w:eastAsia="zh-CN"/>
              </w:rPr>
            </w:pPr>
            <w:r>
              <w:rPr>
                <w:iCs/>
                <w:lang w:val="en-US"/>
              </w:rPr>
              <w:t>Note</w:t>
            </w:r>
            <w:r>
              <w:rPr>
                <w:iCs/>
                <w:lang w:val="en-US" w:eastAsia="zh-CN"/>
              </w:rPr>
              <w:t xml:space="preserve"> 1</w:t>
            </w:r>
            <w:r>
              <w:rPr>
                <w:iCs/>
                <w:lang w:val="en-US"/>
              </w:rPr>
              <w:t xml:space="preserve">: The enhancements of PRACH are targeting for </w:t>
            </w:r>
            <w:proofErr w:type="gramStart"/>
            <w:r>
              <w:rPr>
                <w:iCs/>
                <w:lang w:val="en-US"/>
              </w:rPr>
              <w:t>FR2, and</w:t>
            </w:r>
            <w:proofErr w:type="gramEnd"/>
            <w:r>
              <w:rPr>
                <w:iCs/>
                <w:lang w:val="en-US"/>
              </w:rPr>
              <w:t xml:space="preserve"> can also apply to FR1 when applicable.</w:t>
            </w:r>
          </w:p>
          <w:p w14:paraId="13C76DB2" w14:textId="77777777" w:rsidR="00DA4DD9" w:rsidRDefault="00DA4DD9" w:rsidP="00DA4DD9">
            <w:pPr>
              <w:numPr>
                <w:ilvl w:val="1"/>
                <w:numId w:val="13"/>
              </w:numPr>
              <w:overflowPunct/>
              <w:autoSpaceDE/>
              <w:adjustRightInd/>
              <w:spacing w:before="120" w:after="120" w:line="276" w:lineRule="auto"/>
              <w:ind w:hanging="357"/>
              <w:jc w:val="both"/>
              <w:rPr>
                <w:lang w:eastAsia="zh-CN"/>
              </w:rPr>
            </w:pPr>
            <w:r>
              <w:rPr>
                <w:iCs/>
                <w:lang w:val="en-US"/>
              </w:rPr>
              <w:t>Note</w:t>
            </w:r>
            <w:r>
              <w:rPr>
                <w:iCs/>
                <w:lang w:val="en-US" w:eastAsia="zh-CN"/>
              </w:rPr>
              <w:t xml:space="preserve"> 2</w:t>
            </w:r>
            <w:r>
              <w:rPr>
                <w:iCs/>
                <w:lang w:val="en-US"/>
              </w:rPr>
              <w:t xml:space="preserve">: The enhancements of PRACH are targeting short </w:t>
            </w:r>
            <w:r>
              <w:rPr>
                <w:iCs/>
                <w:lang w:val="en-US" w:eastAsia="zh-CN"/>
              </w:rPr>
              <w:t>PRACH</w:t>
            </w:r>
            <w:r>
              <w:rPr>
                <w:iCs/>
                <w:lang w:val="en-US"/>
              </w:rPr>
              <w:t xml:space="preserve"> </w:t>
            </w:r>
            <w:proofErr w:type="gramStart"/>
            <w:r>
              <w:rPr>
                <w:iCs/>
                <w:lang w:val="en-US"/>
              </w:rPr>
              <w:t>formats</w:t>
            </w:r>
            <w:r>
              <w:rPr>
                <w:iCs/>
                <w:lang w:val="en-US" w:eastAsia="zh-CN"/>
              </w:rPr>
              <w:t>, and</w:t>
            </w:r>
            <w:proofErr w:type="gramEnd"/>
            <w:r>
              <w:rPr>
                <w:iCs/>
                <w:lang w:val="en-US" w:eastAsia="zh-CN"/>
              </w:rPr>
              <w:t xml:space="preserve"> </w:t>
            </w:r>
            <w:r>
              <w:rPr>
                <w:szCs w:val="21"/>
              </w:rPr>
              <w:t>can also apply to other formats</w:t>
            </w:r>
            <w:r>
              <w:rPr>
                <w:iCs/>
                <w:lang w:val="en-US"/>
              </w:rPr>
              <w:t xml:space="preserve"> when applicable.</w:t>
            </w:r>
          </w:p>
          <w:p w14:paraId="64C804FA" w14:textId="77777777" w:rsidR="00DA4DD9" w:rsidRDefault="00DA4DD9" w:rsidP="00DA4DD9">
            <w:pPr>
              <w:numPr>
                <w:ilvl w:val="0"/>
                <w:numId w:val="13"/>
              </w:numPr>
              <w:overflowPunct/>
              <w:autoSpaceDE/>
              <w:adjustRightInd/>
              <w:spacing w:before="120" w:after="120" w:line="276" w:lineRule="auto"/>
              <w:ind w:hanging="357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Study and if </w:t>
            </w:r>
            <w:proofErr w:type="gramStart"/>
            <w:r>
              <w:rPr>
                <w:lang w:val="en-US" w:eastAsia="zh-CN"/>
              </w:rPr>
              <w:t>necessary</w:t>
            </w:r>
            <w:proofErr w:type="gramEnd"/>
            <w:r>
              <w:rPr>
                <w:lang w:val="en-US" w:eastAsia="zh-CN"/>
              </w:rPr>
              <w:t xml:space="preserve"> specify following power domain enhancements</w:t>
            </w:r>
          </w:p>
          <w:p w14:paraId="6873D750" w14:textId="77777777" w:rsidR="00DA4DD9" w:rsidRDefault="00DA4DD9" w:rsidP="00DA4DD9">
            <w:pPr>
              <w:numPr>
                <w:ilvl w:val="1"/>
                <w:numId w:val="13"/>
              </w:numPr>
              <w:overflowPunct/>
              <w:autoSpaceDE/>
              <w:adjustRightInd/>
              <w:spacing w:before="120" w:after="120" w:line="276" w:lineRule="auto"/>
              <w:jc w:val="both"/>
              <w:rPr>
                <w:rFonts w:eastAsia="Yu Mincho"/>
                <w:iCs/>
                <w:lang w:val="en-US" w:eastAsia="en-GB"/>
              </w:rPr>
            </w:pPr>
            <w:r>
              <w:rPr>
                <w:iCs/>
                <w:lang w:val="en-US"/>
              </w:rPr>
              <w:t xml:space="preserve">Enhancements to realize </w:t>
            </w:r>
            <w:r>
              <w:rPr>
                <w:iCs/>
                <w:lang w:val="en-US" w:eastAsia="zh-CN"/>
              </w:rPr>
              <w:t>i</w:t>
            </w:r>
            <w:r>
              <w:rPr>
                <w:iCs/>
                <w:lang w:val="en-US"/>
              </w:rPr>
              <w:t xml:space="preserve">ncreasing UE power high limit for CA and DC based on Rel-17 RAN4 work on “Increasing UE power high limit for CA and DC”, </w:t>
            </w:r>
            <w:r>
              <w:rPr>
                <w:iCs/>
                <w:lang w:val="en-US" w:eastAsia="zh-CN"/>
              </w:rPr>
              <w:t xml:space="preserve">in compliance with </w:t>
            </w:r>
            <w:r>
              <w:rPr>
                <w:iCs/>
                <w:lang w:val="en-US"/>
              </w:rPr>
              <w:t>relevant regulations (RAN4, RAN1)</w:t>
            </w:r>
          </w:p>
          <w:p w14:paraId="3F1818DD" w14:textId="77777777" w:rsidR="00DA4DD9" w:rsidRDefault="00DA4DD9" w:rsidP="00DA4DD9">
            <w:pPr>
              <w:numPr>
                <w:ilvl w:val="1"/>
                <w:numId w:val="13"/>
              </w:numPr>
              <w:overflowPunct/>
              <w:autoSpaceDE/>
              <w:adjustRightInd/>
              <w:spacing w:before="120" w:after="120" w:line="276" w:lineRule="auto"/>
              <w:jc w:val="both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Enhancements to reduce MPR/PAR, including </w:t>
            </w:r>
            <w:r>
              <w:rPr>
                <w:iCs/>
                <w:lang w:val="en-US" w:eastAsia="zh-CN"/>
              </w:rPr>
              <w:t xml:space="preserve">frequency domain </w:t>
            </w:r>
            <w:r>
              <w:rPr>
                <w:iCs/>
                <w:lang w:val="en-US"/>
              </w:rPr>
              <w:t>spectrum shaping</w:t>
            </w:r>
            <w:r>
              <w:t xml:space="preserve"> </w:t>
            </w:r>
            <w:r>
              <w:rPr>
                <w:iCs/>
                <w:lang w:val="en-US"/>
              </w:rPr>
              <w:t>with and without spectrum extension for DFT-S-OFDM and tone reservation (RAN4, RAN1)</w:t>
            </w:r>
          </w:p>
          <w:p w14:paraId="1A7EB958" w14:textId="77777777" w:rsidR="00DA4DD9" w:rsidRDefault="00DA4DD9" w:rsidP="00DA4DD9">
            <w:pPr>
              <w:numPr>
                <w:ilvl w:val="0"/>
                <w:numId w:val="13"/>
              </w:numPr>
              <w:overflowPunct/>
              <w:autoSpaceDE/>
              <w:adjustRightInd/>
              <w:spacing w:before="120" w:after="0" w:line="276" w:lineRule="auto"/>
              <w:ind w:hanging="357"/>
              <w:jc w:val="both"/>
              <w:rPr>
                <w:lang w:val="en-US" w:eastAsia="zh-CN"/>
              </w:rPr>
            </w:pPr>
            <w:r>
              <w:rPr>
                <w:iCs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t xml:space="preserve">Specify </w:t>
            </w:r>
            <w:r>
              <w:rPr>
                <w:sz w:val="21"/>
                <w:szCs w:val="21"/>
              </w:rPr>
              <w:t>enhancements to support dynamic switching between DFT-</w:t>
            </w:r>
            <w:r>
              <w:rPr>
                <w:sz w:val="21"/>
                <w:szCs w:val="21"/>
                <w:lang w:eastAsia="zh-CN"/>
              </w:rPr>
              <w:t>S</w:t>
            </w:r>
            <w:r>
              <w:rPr>
                <w:sz w:val="21"/>
                <w:szCs w:val="21"/>
              </w:rPr>
              <w:t>-OFDM and CP-OFDM (RAN1)</w:t>
            </w:r>
          </w:p>
          <w:p w14:paraId="04CD2C69" w14:textId="2B94A956" w:rsidR="00DA4DD9" w:rsidRPr="00DA4DD9" w:rsidRDefault="00DA4DD9" w:rsidP="00DA4DD9">
            <w:pPr>
              <w:spacing w:after="0"/>
              <w:rPr>
                <w:rFonts w:eastAsia="Yu Mincho"/>
                <w:bCs/>
                <w:lang w:val="en-US" w:eastAsia="en-GB"/>
              </w:rPr>
            </w:pPr>
            <w:r>
              <w:rPr>
                <w:iCs/>
                <w:lang w:val="en-US"/>
              </w:rPr>
              <w:t xml:space="preserve"> </w:t>
            </w:r>
          </w:p>
        </w:tc>
      </w:tr>
    </w:tbl>
    <w:p w14:paraId="31604759" w14:textId="44DE00EC" w:rsidR="00DA4DD9" w:rsidRDefault="00DA4DD9" w:rsidP="00FE4290"/>
    <w:p w14:paraId="0D542A8A" w14:textId="77777777" w:rsidR="00DA4DD9" w:rsidRDefault="00DA4DD9" w:rsidP="00FE4290"/>
    <w:bookmarkEnd w:id="1"/>
    <w:p w14:paraId="5BDA28DA" w14:textId="6C452DA6" w:rsidR="00CE41E8" w:rsidRDefault="00CE6E3E" w:rsidP="00CE41E8">
      <w:pPr>
        <w:pStyle w:val="Heading1"/>
      </w:pPr>
      <w:r>
        <w:lastRenderedPageBreak/>
        <w:t>Discussion</w:t>
      </w:r>
    </w:p>
    <w:p w14:paraId="7950295C" w14:textId="614B6F9E" w:rsidR="00F20E5D" w:rsidRDefault="007661ED" w:rsidP="007661ED">
      <w:pPr>
        <w:pStyle w:val="Heading2"/>
      </w:pPr>
      <w:r>
        <w:t>PRACH coverage enhancements</w:t>
      </w:r>
    </w:p>
    <w:p w14:paraId="6F07902F" w14:textId="1DC6305C" w:rsidR="00F63E20" w:rsidRDefault="00F63E20" w:rsidP="007661ED">
      <w:r>
        <w:t>As the PRACH coverage enhancement feature operates on a cell-specific configuration before the UE capabilities are known to the network, it is highly desirable that there is just a single monolithic FG that defines a binary supported/not supported UE capability.</w:t>
      </w:r>
      <w:r w:rsidR="00843498">
        <w:t xml:space="preserve"> Thus,</w:t>
      </w:r>
      <w:r>
        <w:t xml:space="preserve"> RAN1 should avoid adding any further granularity to the PRACH coverage enhancements FG beyond the binary approach.</w:t>
      </w:r>
    </w:p>
    <w:p w14:paraId="1D38441B" w14:textId="08BDE394" w:rsidR="00F63E20" w:rsidRPr="00F63E20" w:rsidRDefault="00F63E20" w:rsidP="007661ED">
      <w:r>
        <w:rPr>
          <w:b/>
          <w:bCs/>
        </w:rPr>
        <w:t xml:space="preserve">Proposal 1: </w:t>
      </w:r>
      <w:r w:rsidRPr="00F63E20">
        <w:rPr>
          <w:b/>
          <w:bCs/>
        </w:rPr>
        <w:t xml:space="preserve">Introduce a single binary {supported, not supported} FG covering the whole of PRACH coverage </w:t>
      </w:r>
      <w:r w:rsidR="00843498" w:rsidRPr="00F63E20">
        <w:rPr>
          <w:b/>
          <w:bCs/>
        </w:rPr>
        <w:t>enhancement</w:t>
      </w:r>
      <w:r w:rsidRPr="00F63E20">
        <w:rPr>
          <w:b/>
          <w:bCs/>
        </w:rPr>
        <w:t xml:space="preserve"> work done in Rel-18</w:t>
      </w:r>
    </w:p>
    <w:p w14:paraId="7974EB54" w14:textId="1E6653B2" w:rsidR="00AA13A7" w:rsidRDefault="00AA13A7" w:rsidP="007661ED">
      <w:pPr>
        <w:rPr>
          <w:b/>
          <w:bCs/>
        </w:rPr>
      </w:pPr>
      <w:r>
        <w:rPr>
          <w:b/>
          <w:bCs/>
        </w:rPr>
        <w:t xml:space="preserve">Proposal </w:t>
      </w:r>
      <w:r w:rsidR="00F63E20">
        <w:rPr>
          <w:b/>
          <w:bCs/>
        </w:rPr>
        <w:t>2</w:t>
      </w:r>
      <w:r>
        <w:rPr>
          <w:b/>
          <w:bCs/>
        </w:rPr>
        <w:t xml:space="preserve">: Take the following table as basis for defining the PRACH </w:t>
      </w:r>
      <w:r w:rsidR="00C715CF">
        <w:rPr>
          <w:b/>
          <w:bCs/>
        </w:rPr>
        <w:t>coverage</w:t>
      </w:r>
      <w:r>
        <w:rPr>
          <w:b/>
          <w:bCs/>
        </w:rPr>
        <w:t xml:space="preserve"> enhancements FGs: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2360"/>
        <w:gridCol w:w="6521"/>
      </w:tblGrid>
      <w:tr w:rsidR="0003682D" w:rsidRPr="00BA5E7C" w14:paraId="1F0DD311" w14:textId="77777777" w:rsidTr="0003682D">
        <w:trPr>
          <w:trHeight w:val="2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DCC1" w14:textId="77777777" w:rsidR="0003682D" w:rsidRPr="00BA5E7C" w:rsidRDefault="0003682D" w:rsidP="006D19C0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DA7D" w14:textId="77777777" w:rsidR="0003682D" w:rsidRPr="00BA5E7C" w:rsidRDefault="0003682D" w:rsidP="006D19C0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C959" w14:textId="77777777" w:rsidR="0003682D" w:rsidRPr="00BA5E7C" w:rsidRDefault="0003682D" w:rsidP="006D19C0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</w:tr>
      <w:tr w:rsidR="0003682D" w:rsidRPr="00263855" w14:paraId="265D998C" w14:textId="77777777" w:rsidTr="0003682D">
        <w:trPr>
          <w:trHeight w:val="2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6E586" w14:textId="1992FC1C" w:rsidR="0003682D" w:rsidRPr="008924AF" w:rsidRDefault="0003682D" w:rsidP="006D19C0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  <w:t>54-1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04848" w14:textId="035EC95E" w:rsidR="0003682D" w:rsidRPr="00263855" w:rsidRDefault="0003682D" w:rsidP="006D19C0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Support for multiple PRACH transmissions of the same PRACH preamble using the same Tx beam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3EFA" w14:textId="3094AB39" w:rsidR="0003682D" w:rsidRDefault="0003682D" w:rsidP="00C715CF">
            <w:pPr>
              <w:pStyle w:val="ListParagraph"/>
              <w:numPr>
                <w:ilvl w:val="0"/>
                <w:numId w:val="15"/>
              </w:numPr>
              <w:ind w:left="173" w:hanging="173"/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>Determination of RO group and the starting RO in the group for multiple PRACH transmissions</w:t>
            </w:r>
          </w:p>
          <w:p w14:paraId="66030448" w14:textId="77777777" w:rsidR="0003682D" w:rsidRDefault="0003682D" w:rsidP="00C715CF">
            <w:pPr>
              <w:pStyle w:val="ListParagraph"/>
              <w:numPr>
                <w:ilvl w:val="0"/>
                <w:numId w:val="15"/>
              </w:numPr>
              <w:ind w:left="173" w:hanging="173"/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</w:pPr>
            <w:r w:rsidRPr="00C715CF"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>Support of 2, 4</w:t>
            </w: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 xml:space="preserve"> and</w:t>
            </w:r>
            <w:r w:rsidRPr="00C715CF"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 xml:space="preserve"> 8 </w:t>
            </w: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>PRACH transmissions on the group of ROs</w:t>
            </w:r>
          </w:p>
          <w:p w14:paraId="7261BCB5" w14:textId="734D3D62" w:rsidR="0003682D" w:rsidRPr="00D46171" w:rsidRDefault="0003682D" w:rsidP="00D46171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</w:pPr>
            <w:r w:rsidRPr="00D46171"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>[3.</w:t>
            </w: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 xml:space="preserve"> Frequency hopping with different starting RBs for each RO in an RO group</w:t>
            </w:r>
            <w:r w:rsidRPr="00D46171"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>]</w:t>
            </w:r>
          </w:p>
        </w:tc>
      </w:tr>
    </w:tbl>
    <w:p w14:paraId="2605E315" w14:textId="2F520ACB" w:rsidR="007661ED" w:rsidRDefault="00AA13A7" w:rsidP="007661ED">
      <w:r>
        <w:t xml:space="preserve"> </w:t>
      </w:r>
    </w:p>
    <w:p w14:paraId="15FFA69B" w14:textId="47687F8D" w:rsidR="007661ED" w:rsidRDefault="007661ED" w:rsidP="007661ED">
      <w:pPr>
        <w:pStyle w:val="Heading2"/>
      </w:pPr>
      <w:r>
        <w:t>Power domain enhancements</w:t>
      </w:r>
    </w:p>
    <w:p w14:paraId="493C4447" w14:textId="77777777" w:rsidR="007661ED" w:rsidRDefault="007661ED" w:rsidP="007661ED">
      <w:pPr>
        <w:overflowPunct/>
        <w:autoSpaceDE/>
        <w:autoSpaceDN/>
        <w:adjustRightInd/>
        <w:spacing w:after="0"/>
        <w:textAlignment w:val="auto"/>
      </w:pPr>
      <w:r>
        <w:t>The RAN#100 endorsed proposal of [3] seems to conclude that the second objective is not going to have any RAN1 impacts:</w:t>
      </w:r>
    </w:p>
    <w:p w14:paraId="2814336F" w14:textId="77777777" w:rsidR="007661ED" w:rsidRDefault="007661ED" w:rsidP="007661ED">
      <w:pPr>
        <w:overflowPunct/>
        <w:autoSpaceDE/>
        <w:autoSpaceDN/>
        <w:adjustRightInd/>
        <w:spacing w:after="0"/>
        <w:textAlignment w:val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61ED" w14:paraId="4D1D32D0" w14:textId="77777777" w:rsidTr="006D19C0">
        <w:tc>
          <w:tcPr>
            <w:tcW w:w="9629" w:type="dxa"/>
          </w:tcPr>
          <w:p w14:paraId="2A05E26C" w14:textId="77777777" w:rsidR="00DA4DD9" w:rsidRPr="00DA4DD9" w:rsidRDefault="00DA4DD9" w:rsidP="006D19C0">
            <w:pPr>
              <w:spacing w:after="0"/>
              <w:rPr>
                <w:lang w:val="en-US"/>
              </w:rPr>
            </w:pPr>
            <w:r w:rsidRPr="00DA4DD9">
              <w:rPr>
                <w:rFonts w:hint="eastAsia"/>
                <w:highlight w:val="green"/>
                <w:u w:val="single"/>
                <w:lang w:val="en-US"/>
              </w:rPr>
              <w:t>Proposal #1 (Offline consensus)</w:t>
            </w:r>
          </w:p>
          <w:p w14:paraId="3ECC0C72" w14:textId="77777777" w:rsidR="00DA4DD9" w:rsidRPr="00DA4DD9" w:rsidRDefault="00DA4DD9" w:rsidP="006D19C0">
            <w:pPr>
              <w:numPr>
                <w:ilvl w:val="0"/>
                <w:numId w:val="14"/>
              </w:numPr>
              <w:rPr>
                <w:lang w:val="en-US"/>
              </w:rPr>
            </w:pPr>
            <w:r w:rsidRPr="00DA4DD9">
              <w:rPr>
                <w:rFonts w:hint="eastAsia"/>
                <w:lang w:val="en-US"/>
              </w:rPr>
              <w:t>No RAN1 specification impact is expected for MPR/PAR reduction in Rel-18 UL Coverage WI</w:t>
            </w:r>
          </w:p>
          <w:p w14:paraId="350648A2" w14:textId="77777777" w:rsidR="007661ED" w:rsidRPr="00DA4DD9" w:rsidRDefault="00DA4DD9" w:rsidP="006D19C0">
            <w:pPr>
              <w:numPr>
                <w:ilvl w:val="1"/>
                <w:numId w:val="14"/>
              </w:numPr>
              <w:rPr>
                <w:lang w:val="en-US"/>
              </w:rPr>
            </w:pPr>
            <w:r w:rsidRPr="00DA4DD9">
              <w:rPr>
                <w:rFonts w:hint="eastAsia"/>
                <w:lang w:val="en-US"/>
              </w:rPr>
              <w:t>RAN4 will define new optional requirements in the form of at least MPR reduction suitable for a transparent scheme (such as FDSS) that have no RAN1 specification impact</w:t>
            </w:r>
          </w:p>
        </w:tc>
      </w:tr>
    </w:tbl>
    <w:p w14:paraId="0BA74F7E" w14:textId="15BF9089" w:rsidR="007661ED" w:rsidRDefault="007661ED" w:rsidP="007661ED"/>
    <w:p w14:paraId="711888FF" w14:textId="265D4240" w:rsidR="007661ED" w:rsidRDefault="007661ED" w:rsidP="007661ED">
      <w:r>
        <w:rPr>
          <w:b/>
          <w:bCs/>
        </w:rPr>
        <w:t xml:space="preserve">Observation 1: </w:t>
      </w:r>
      <w:r>
        <w:t>No RAN1 FGs are needed for Power domain enhancements</w:t>
      </w:r>
      <w:r w:rsidR="00A34E58">
        <w:t>. RAN2 and RAN4 can discuss further if a new FG should be introduced.</w:t>
      </w:r>
    </w:p>
    <w:p w14:paraId="6C578BD8" w14:textId="77777777" w:rsidR="007661ED" w:rsidRPr="007661ED" w:rsidRDefault="007661ED" w:rsidP="007661ED"/>
    <w:p w14:paraId="2CA15DAE" w14:textId="5B4858A9" w:rsidR="007661ED" w:rsidRDefault="007661ED" w:rsidP="007661ED">
      <w:pPr>
        <w:pStyle w:val="Heading2"/>
      </w:pPr>
      <w:r>
        <w:t>D</w:t>
      </w:r>
      <w:r w:rsidRPr="007661ED">
        <w:t>ynamic switching between DFT-S-OFDM and CP-OFDM</w:t>
      </w:r>
    </w:p>
    <w:p w14:paraId="4593ABEF" w14:textId="670EDEC0" w:rsidR="007661ED" w:rsidRDefault="00F63E20" w:rsidP="007661ED">
      <w:r>
        <w:t xml:space="preserve">Dynamic waveform switching should be a straight-forward FG with indication on </w:t>
      </w:r>
      <w:r w:rsidR="23FCD971">
        <w:t>whether</w:t>
      </w:r>
      <w:r>
        <w:t xml:space="preserve"> the feature is supported by the UE</w:t>
      </w:r>
      <w:r w:rsidR="7CD4941D">
        <w:t xml:space="preserve"> or not</w:t>
      </w:r>
      <w:r>
        <w:t>. The WI still needs to decide on the PHR reporting, after which the fa</w:t>
      </w:r>
      <w:r w:rsidR="20933804">
        <w:t>te</w:t>
      </w:r>
      <w:r>
        <w:t xml:space="preserve"> of the suggested component 2 below can be determined.</w:t>
      </w:r>
    </w:p>
    <w:p w14:paraId="4A959432" w14:textId="2484C43E" w:rsidR="00AA13A7" w:rsidRDefault="00AA13A7" w:rsidP="00AA13A7">
      <w:pPr>
        <w:rPr>
          <w:b/>
          <w:bCs/>
        </w:rPr>
      </w:pPr>
      <w:r>
        <w:rPr>
          <w:b/>
          <w:bCs/>
        </w:rPr>
        <w:t>Proposal 2: Take the following table as basis for defining the Dynamic switching between DFT-S-OFDM and CP-OFDM FGs: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2360"/>
        <w:gridCol w:w="6662"/>
      </w:tblGrid>
      <w:tr w:rsidR="005C5524" w:rsidRPr="00BA5E7C" w14:paraId="675A0758" w14:textId="77777777" w:rsidTr="005C552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1A10" w14:textId="77777777" w:rsidR="005C5524" w:rsidRPr="00BA5E7C" w:rsidRDefault="005C5524" w:rsidP="006D19C0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9E3E" w14:textId="77777777" w:rsidR="005C5524" w:rsidRPr="00BA5E7C" w:rsidRDefault="005C5524" w:rsidP="006D19C0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A6D6" w14:textId="77777777" w:rsidR="005C5524" w:rsidRPr="00BA5E7C" w:rsidRDefault="005C5524" w:rsidP="006D19C0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</w:tr>
      <w:tr w:rsidR="005C5524" w:rsidRPr="00263855" w14:paraId="3AB4E8D1" w14:textId="77777777" w:rsidTr="005C552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8A479" w14:textId="2009F6A5" w:rsidR="005C5524" w:rsidRPr="008924AF" w:rsidRDefault="005C5524" w:rsidP="006D19C0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  <w:t>54-2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A5FD8" w14:textId="443E44C7" w:rsidR="005C5524" w:rsidRPr="00263855" w:rsidRDefault="005C5524" w:rsidP="006D19C0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Dynamic enabling/disabling of the transform precoding for PUSCH transmissions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8A505" w14:textId="2BBBC8FD" w:rsidR="005C5524" w:rsidRDefault="005C5524" w:rsidP="005C5524">
            <w:pPr>
              <w:pStyle w:val="ListParagraph"/>
              <w:numPr>
                <w:ilvl w:val="0"/>
                <w:numId w:val="16"/>
              </w:numPr>
              <w:ind w:left="181" w:hanging="181"/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</w:pPr>
            <w:r w:rsidRPr="005C5524"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>OFDM</w:t>
            </w:r>
            <w:r w:rsidRPr="005C5524">
              <w:rPr>
                <w:lang w:val="en-US"/>
              </w:rPr>
              <w:t xml:space="preserve"> </w:t>
            </w:r>
            <w:r w:rsidRPr="005C5524"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 xml:space="preserve">Dynamic enabling/disabling of the transform precoding for PUSCH </w:t>
            </w:r>
            <w:proofErr w:type="gramStart"/>
            <w:r w:rsidRPr="005C5524"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>transmissions</w:t>
            </w:r>
            <w:proofErr w:type="gramEnd"/>
          </w:p>
          <w:p w14:paraId="59ABA98C" w14:textId="55437C5E" w:rsidR="005C5524" w:rsidRPr="005C5524" w:rsidRDefault="005C5524" w:rsidP="005C5524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</w:pPr>
            <w:r w:rsidRPr="005C5524"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>[2): PHR reporting for both waveforms]</w:t>
            </w:r>
          </w:p>
        </w:tc>
      </w:tr>
    </w:tbl>
    <w:p w14:paraId="593A7F86" w14:textId="77777777" w:rsidR="00DA4DD9" w:rsidRPr="00CE41E8" w:rsidRDefault="00DA4DD9" w:rsidP="00CE41E8"/>
    <w:p w14:paraId="5DC4BDE7" w14:textId="38F0DCD0" w:rsidR="00F63E20" w:rsidRDefault="00F63E20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br w:type="page"/>
      </w:r>
    </w:p>
    <w:p w14:paraId="0B53E365" w14:textId="77777777" w:rsidR="006801DB" w:rsidRDefault="006801DB" w:rsidP="002364F0">
      <w:pPr>
        <w:rPr>
          <w:lang w:val="en-US"/>
        </w:rPr>
      </w:pPr>
    </w:p>
    <w:p w14:paraId="10445A01" w14:textId="65BF2491" w:rsidR="00885580" w:rsidRDefault="007820D0" w:rsidP="00090989">
      <w:pPr>
        <w:pStyle w:val="Heading1"/>
      </w:pPr>
      <w:r>
        <w:t>Conclusion</w:t>
      </w:r>
    </w:p>
    <w:p w14:paraId="1F212BE1" w14:textId="05D48DC4" w:rsidR="00F23174" w:rsidRDefault="00497426" w:rsidP="003A4C13">
      <w:r>
        <w:t xml:space="preserve">In this contribution </w:t>
      </w:r>
      <w:r w:rsidR="005C1299">
        <w:t>we make the following</w:t>
      </w:r>
      <w:r w:rsidR="00F63E20">
        <w:t xml:space="preserve"> observations and</w:t>
      </w:r>
      <w:r w:rsidR="005C1299">
        <w:t xml:space="preserve"> proposals:</w:t>
      </w:r>
    </w:p>
    <w:p w14:paraId="444977A2" w14:textId="77777777" w:rsidR="00F63E20" w:rsidRPr="00F63E20" w:rsidRDefault="00F63E20" w:rsidP="00F63E20">
      <w:r>
        <w:rPr>
          <w:b/>
          <w:bCs/>
        </w:rPr>
        <w:t xml:space="preserve">Proposal 1: </w:t>
      </w:r>
      <w:r w:rsidRPr="00F63E20">
        <w:rPr>
          <w:b/>
          <w:bCs/>
        </w:rPr>
        <w:t>Introduce a single binary {supported, not supported} FG covering the whole of PRACH coverage enhancemet work done in Rel-18</w:t>
      </w:r>
    </w:p>
    <w:p w14:paraId="517F53F9" w14:textId="77777777" w:rsidR="00F63E20" w:rsidRDefault="00F63E20" w:rsidP="00F63E20">
      <w:pPr>
        <w:rPr>
          <w:b/>
          <w:bCs/>
        </w:rPr>
      </w:pPr>
      <w:r>
        <w:rPr>
          <w:b/>
          <w:bCs/>
        </w:rPr>
        <w:t>Proposal 2: Take the following table as basis for defining the PRACH coverage enhancements FGs: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2360"/>
        <w:gridCol w:w="6521"/>
      </w:tblGrid>
      <w:tr w:rsidR="00F63E20" w:rsidRPr="00BA5E7C" w14:paraId="231BBA32" w14:textId="77777777" w:rsidTr="006D19C0">
        <w:trPr>
          <w:trHeight w:val="2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544C" w14:textId="77777777" w:rsidR="00F63E20" w:rsidRPr="00BA5E7C" w:rsidRDefault="00F63E20" w:rsidP="006D19C0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9D1B" w14:textId="77777777" w:rsidR="00F63E20" w:rsidRPr="00BA5E7C" w:rsidRDefault="00F63E20" w:rsidP="006D19C0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092B" w14:textId="77777777" w:rsidR="00F63E20" w:rsidRPr="00BA5E7C" w:rsidRDefault="00F63E20" w:rsidP="006D19C0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</w:tr>
      <w:tr w:rsidR="00F63E20" w:rsidRPr="00263855" w14:paraId="66F0BA35" w14:textId="77777777" w:rsidTr="006D19C0">
        <w:trPr>
          <w:trHeight w:val="2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2E880" w14:textId="77777777" w:rsidR="00F63E20" w:rsidRPr="008924AF" w:rsidRDefault="00F63E20" w:rsidP="006D19C0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  <w:t>54-1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E7C9F" w14:textId="77777777" w:rsidR="00F63E20" w:rsidRPr="00263855" w:rsidRDefault="00F63E20" w:rsidP="006D19C0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Support for multiple PRACH transmissions of the same PRACH preamble using the same Tx beam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FBEFF" w14:textId="77777777" w:rsidR="00F63E20" w:rsidRDefault="00F63E20" w:rsidP="006D19C0">
            <w:pPr>
              <w:pStyle w:val="ListParagraph"/>
              <w:numPr>
                <w:ilvl w:val="0"/>
                <w:numId w:val="15"/>
              </w:numPr>
              <w:ind w:left="173" w:hanging="173"/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>Determination of RO group and the starting RO in the group for multiple PRACH transmissions</w:t>
            </w:r>
          </w:p>
          <w:p w14:paraId="26AF114F" w14:textId="77777777" w:rsidR="00F63E20" w:rsidRDefault="00F63E20" w:rsidP="006D19C0">
            <w:pPr>
              <w:pStyle w:val="ListParagraph"/>
              <w:numPr>
                <w:ilvl w:val="0"/>
                <w:numId w:val="15"/>
              </w:numPr>
              <w:ind w:left="173" w:hanging="173"/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</w:pPr>
            <w:r w:rsidRPr="00C715CF"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>Support of 2, 4</w:t>
            </w: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 xml:space="preserve"> and</w:t>
            </w:r>
            <w:r w:rsidRPr="00C715CF"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 xml:space="preserve"> 8 </w:t>
            </w: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>PRACH transmissions on the group of ROs</w:t>
            </w:r>
          </w:p>
          <w:p w14:paraId="2537C0EB" w14:textId="77777777" w:rsidR="00F63E20" w:rsidRPr="00D46171" w:rsidRDefault="00F63E20" w:rsidP="006D19C0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</w:pPr>
            <w:r w:rsidRPr="00D46171"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>[3.</w:t>
            </w: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 xml:space="preserve"> Frequency hopping with different starting RBs for each RO in an RO group</w:t>
            </w:r>
            <w:r w:rsidRPr="00D46171"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>]</w:t>
            </w:r>
          </w:p>
        </w:tc>
      </w:tr>
    </w:tbl>
    <w:p w14:paraId="3C245DFE" w14:textId="1D73852C" w:rsidR="00F63E20" w:rsidRDefault="00F63E20" w:rsidP="00F63E20">
      <w:r>
        <w:t xml:space="preserve"> </w:t>
      </w:r>
    </w:p>
    <w:p w14:paraId="772C12BA" w14:textId="77777777" w:rsidR="00F63E20" w:rsidRDefault="00F63E20" w:rsidP="00F63E20">
      <w:r>
        <w:rPr>
          <w:b/>
          <w:bCs/>
        </w:rPr>
        <w:t xml:space="preserve">Observation 1: </w:t>
      </w:r>
      <w:r>
        <w:t>No RAN1 FGs are needed for Power domain enhancements. RAN2 and RAN4 can discuss further if a new FG should be introduced.</w:t>
      </w:r>
    </w:p>
    <w:p w14:paraId="73C8BDF3" w14:textId="77777777" w:rsidR="00F63E20" w:rsidRDefault="00F63E20" w:rsidP="00F63E20"/>
    <w:p w14:paraId="58E15A5A" w14:textId="77777777" w:rsidR="00F63E20" w:rsidRDefault="00F63E20" w:rsidP="00F63E20">
      <w:pPr>
        <w:rPr>
          <w:b/>
          <w:bCs/>
        </w:rPr>
      </w:pPr>
      <w:r>
        <w:rPr>
          <w:b/>
          <w:bCs/>
        </w:rPr>
        <w:t>Proposal 2: Take the following table as basis for defining the Dynamic switching between DFT-S-OFDM and CP-OFDM FGs: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2360"/>
        <w:gridCol w:w="6662"/>
      </w:tblGrid>
      <w:tr w:rsidR="00F63E20" w:rsidRPr="00BA5E7C" w14:paraId="18128C4F" w14:textId="77777777" w:rsidTr="006D19C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198B" w14:textId="77777777" w:rsidR="00F63E20" w:rsidRPr="00BA5E7C" w:rsidRDefault="00F63E20" w:rsidP="006D19C0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C416" w14:textId="77777777" w:rsidR="00F63E20" w:rsidRPr="00BA5E7C" w:rsidRDefault="00F63E20" w:rsidP="006D19C0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4AA0" w14:textId="77777777" w:rsidR="00F63E20" w:rsidRPr="00BA5E7C" w:rsidRDefault="00F63E20" w:rsidP="006D19C0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</w:tr>
      <w:tr w:rsidR="00F63E20" w:rsidRPr="00263855" w14:paraId="0B187EB2" w14:textId="77777777" w:rsidTr="006D19C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D5E4F" w14:textId="77777777" w:rsidR="00F63E20" w:rsidRPr="008924AF" w:rsidRDefault="00F63E20" w:rsidP="006D19C0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  <w:t>54-2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CB9A" w14:textId="77777777" w:rsidR="00F63E20" w:rsidRPr="00263855" w:rsidRDefault="00F63E20" w:rsidP="006D19C0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Dynamic enabling/disabling of the transform precoding for PUSCH transmissions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A90AF" w14:textId="77777777" w:rsidR="00F63E20" w:rsidRDefault="00F63E20" w:rsidP="006D19C0">
            <w:pPr>
              <w:pStyle w:val="ListParagraph"/>
              <w:numPr>
                <w:ilvl w:val="0"/>
                <w:numId w:val="16"/>
              </w:numPr>
              <w:ind w:left="181" w:hanging="181"/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</w:pPr>
            <w:r w:rsidRPr="005C5524"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>OFDM</w:t>
            </w:r>
            <w:r w:rsidRPr="005C5524">
              <w:rPr>
                <w:lang w:val="en-US"/>
              </w:rPr>
              <w:t xml:space="preserve"> </w:t>
            </w:r>
            <w:r w:rsidRPr="005C5524"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 xml:space="preserve">Dynamic enabling/disabling of the transform precoding for PUSCH </w:t>
            </w:r>
            <w:proofErr w:type="gramStart"/>
            <w:r w:rsidRPr="005C5524"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>transmissions</w:t>
            </w:r>
            <w:proofErr w:type="gramEnd"/>
          </w:p>
          <w:p w14:paraId="4BDD7D30" w14:textId="77777777" w:rsidR="00F63E20" w:rsidRPr="005C5524" w:rsidRDefault="00F63E20" w:rsidP="006D19C0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</w:pPr>
            <w:r w:rsidRPr="005C5524"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n-US"/>
              </w:rPr>
              <w:t>[2): PHR reporting for both waveforms]</w:t>
            </w:r>
          </w:p>
        </w:tc>
      </w:tr>
    </w:tbl>
    <w:p w14:paraId="45C1277D" w14:textId="77777777" w:rsidR="00F63E20" w:rsidRPr="00CE41E8" w:rsidRDefault="00F63E20" w:rsidP="00F63E20"/>
    <w:p w14:paraId="757A361A" w14:textId="77777777" w:rsidR="00A54A80" w:rsidRPr="005C1299" w:rsidRDefault="00A54A80" w:rsidP="001F201D">
      <w:pPr>
        <w:rPr>
          <w:b/>
          <w:bCs/>
          <w:lang w:val="en-US"/>
        </w:rPr>
      </w:pPr>
    </w:p>
    <w:p w14:paraId="0D3F07B4" w14:textId="13EA617A" w:rsidR="00AC6AF3" w:rsidRDefault="00AC6AF3" w:rsidP="00AC6AF3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48CBFBDF" w14:textId="02E4AF6B" w:rsidR="000C5B5B" w:rsidRDefault="00AC6AF3" w:rsidP="0009098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0A26B5">
        <w:rPr>
          <w:sz w:val="20"/>
          <w:szCs w:val="20"/>
          <w:lang w:val="en-US"/>
        </w:rPr>
        <w:t>R1-230</w:t>
      </w:r>
      <w:r w:rsidR="000A26B5">
        <w:rPr>
          <w:sz w:val="20"/>
          <w:szCs w:val="20"/>
          <w:lang w:val="en-US"/>
        </w:rPr>
        <w:t>6223</w:t>
      </w:r>
      <w:r w:rsidRPr="000A26B5">
        <w:rPr>
          <w:sz w:val="20"/>
          <w:szCs w:val="20"/>
          <w:lang w:val="en-US"/>
        </w:rPr>
        <w:t>, “</w:t>
      </w:r>
      <w:r w:rsidR="000A26B5" w:rsidRPr="000A26B5">
        <w:rPr>
          <w:sz w:val="20"/>
          <w:szCs w:val="20"/>
          <w:lang w:val="en-US"/>
        </w:rPr>
        <w:t>Updated RAN1 UE features list for Rel-18 NR after RAN1#113</w:t>
      </w:r>
      <w:r w:rsidRPr="000A26B5">
        <w:rPr>
          <w:sz w:val="20"/>
          <w:szCs w:val="20"/>
          <w:lang w:val="en-US"/>
        </w:rPr>
        <w:t xml:space="preserve">” Moderators (AT&amp;T, NTT DOCOMO, INC.), </w:t>
      </w:r>
      <w:r w:rsidR="000A26B5">
        <w:rPr>
          <w:sz w:val="20"/>
          <w:szCs w:val="20"/>
          <w:lang w:val="en-US"/>
        </w:rPr>
        <w:t>May</w:t>
      </w:r>
      <w:r w:rsidRPr="000A26B5">
        <w:rPr>
          <w:sz w:val="20"/>
          <w:szCs w:val="20"/>
          <w:lang w:val="en-US"/>
        </w:rPr>
        <w:t xml:space="preserve"> 2023</w:t>
      </w:r>
    </w:p>
    <w:p w14:paraId="1A2A551E" w14:textId="56BB8447" w:rsidR="00CE6E3E" w:rsidRDefault="00CE6E3E" w:rsidP="0009098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RP-221858, “</w:t>
      </w:r>
      <w:r w:rsidRPr="00CE6E3E">
        <w:rPr>
          <w:sz w:val="20"/>
          <w:szCs w:val="20"/>
          <w:lang w:val="en-US"/>
        </w:rPr>
        <w:t>Revised WID on Further NR coverage enhancements</w:t>
      </w:r>
      <w:r>
        <w:rPr>
          <w:sz w:val="20"/>
          <w:szCs w:val="20"/>
          <w:lang w:val="en-US"/>
        </w:rPr>
        <w:t>”, China Telecom, June 2022</w:t>
      </w:r>
    </w:p>
    <w:p w14:paraId="5FF9B07D" w14:textId="60A3BAF7" w:rsidR="00CE6E3E" w:rsidRPr="000A26B5" w:rsidRDefault="00CE6E3E" w:rsidP="0009098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RP-231498, “</w:t>
      </w:r>
      <w:r w:rsidRPr="00CE6E3E">
        <w:rPr>
          <w:sz w:val="20"/>
          <w:szCs w:val="20"/>
          <w:lang w:val="en-US"/>
        </w:rPr>
        <w:t>Summary for discussion [RAN1-UL-Coverage]</w:t>
      </w:r>
      <w:r>
        <w:rPr>
          <w:sz w:val="20"/>
          <w:szCs w:val="20"/>
          <w:lang w:val="en-US"/>
        </w:rPr>
        <w:t>”, Moderator (NTT DOCOMO, INC.), June 2023</w:t>
      </w:r>
    </w:p>
    <w:p w14:paraId="54EC168F" w14:textId="77777777" w:rsidR="000A26B5" w:rsidRDefault="000A26B5">
      <w:pPr>
        <w:overflowPunct/>
        <w:autoSpaceDE/>
        <w:autoSpaceDN/>
        <w:adjustRightInd/>
        <w:spacing w:after="0"/>
        <w:textAlignment w:val="auto"/>
      </w:pPr>
    </w:p>
    <w:sectPr w:rsidR="000A26B5" w:rsidSect="00C4452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9CDB9" w14:textId="77777777" w:rsidR="00D75CF3" w:rsidRDefault="00D75CF3">
      <w:r>
        <w:separator/>
      </w:r>
    </w:p>
  </w:endnote>
  <w:endnote w:type="continuationSeparator" w:id="0">
    <w:p w14:paraId="6ECA1825" w14:textId="77777777" w:rsidR="00D75CF3" w:rsidRDefault="00D75CF3">
      <w:r>
        <w:continuationSeparator/>
      </w:r>
    </w:p>
  </w:endnote>
  <w:endnote w:type="continuationNotice" w:id="1">
    <w:p w14:paraId="4902ED09" w14:textId="77777777" w:rsidR="00D75CF3" w:rsidRDefault="00D75C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73DB2" w14:textId="77777777" w:rsidR="00D75CF3" w:rsidRDefault="00D75CF3">
      <w:r>
        <w:separator/>
      </w:r>
    </w:p>
  </w:footnote>
  <w:footnote w:type="continuationSeparator" w:id="0">
    <w:p w14:paraId="24129B89" w14:textId="77777777" w:rsidR="00D75CF3" w:rsidRDefault="00D75CF3">
      <w:r>
        <w:continuationSeparator/>
      </w:r>
    </w:p>
  </w:footnote>
  <w:footnote w:type="continuationNotice" w:id="1">
    <w:p w14:paraId="1957202A" w14:textId="77777777" w:rsidR="00D75CF3" w:rsidRDefault="00D75C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A7F42"/>
    <w:multiLevelType w:val="hybridMultilevel"/>
    <w:tmpl w:val="6CAEBA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0183FC1"/>
    <w:multiLevelType w:val="hybridMultilevel"/>
    <w:tmpl w:val="A65E04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B7280"/>
    <w:multiLevelType w:val="hybridMultilevel"/>
    <w:tmpl w:val="C62AC5A4"/>
    <w:lvl w:ilvl="0" w:tplc="D82C8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253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5E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1E72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BB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C0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082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B4B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E6A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12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3"/>
  </w:num>
  <w:num w:numId="2" w16cid:durableId="357124585">
    <w:abstractNumId w:val="7"/>
  </w:num>
  <w:num w:numId="3" w16cid:durableId="1559780918">
    <w:abstractNumId w:val="1"/>
  </w:num>
  <w:num w:numId="4" w16cid:durableId="718750690">
    <w:abstractNumId w:val="13"/>
  </w:num>
  <w:num w:numId="5" w16cid:durableId="1547567976">
    <w:abstractNumId w:val="6"/>
  </w:num>
  <w:num w:numId="6" w16cid:durableId="1485706495">
    <w:abstractNumId w:val="12"/>
  </w:num>
  <w:num w:numId="7" w16cid:durableId="1709142021">
    <w:abstractNumId w:val="5"/>
  </w:num>
  <w:num w:numId="8" w16cid:durableId="1316760466">
    <w:abstractNumId w:val="10"/>
  </w:num>
  <w:num w:numId="9" w16cid:durableId="440952079">
    <w:abstractNumId w:val="8"/>
  </w:num>
  <w:num w:numId="10" w16cid:durableId="1177697182">
    <w:abstractNumId w:val="15"/>
  </w:num>
  <w:num w:numId="11" w16cid:durableId="50622417">
    <w:abstractNumId w:val="11"/>
  </w:num>
  <w:num w:numId="12" w16cid:durableId="1302345153">
    <w:abstractNumId w:val="14"/>
  </w:num>
  <w:num w:numId="13" w16cid:durableId="1229345357">
    <w:abstractNumId w:val="2"/>
  </w:num>
  <w:num w:numId="14" w16cid:durableId="1900902649">
    <w:abstractNumId w:val="9"/>
  </w:num>
  <w:num w:numId="15" w16cid:durableId="138426235">
    <w:abstractNumId w:val="0"/>
  </w:num>
  <w:num w:numId="16" w16cid:durableId="140025300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B65"/>
    <w:rsid w:val="0003479E"/>
    <w:rsid w:val="00035691"/>
    <w:rsid w:val="0003657B"/>
    <w:rsid w:val="0003682D"/>
    <w:rsid w:val="0003767C"/>
    <w:rsid w:val="00040833"/>
    <w:rsid w:val="00040F4F"/>
    <w:rsid w:val="0004132D"/>
    <w:rsid w:val="00041C9D"/>
    <w:rsid w:val="00044CFA"/>
    <w:rsid w:val="000454E0"/>
    <w:rsid w:val="0004584D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0989"/>
    <w:rsid w:val="00091A92"/>
    <w:rsid w:val="00093C4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34E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464B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36E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4A7"/>
    <w:rsid w:val="00253EC2"/>
    <w:rsid w:val="002551BD"/>
    <w:rsid w:val="002568D0"/>
    <w:rsid w:val="0025706E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925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79A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25E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524"/>
    <w:rsid w:val="005C5870"/>
    <w:rsid w:val="005C7D39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579"/>
    <w:rsid w:val="00632BA2"/>
    <w:rsid w:val="00633BF2"/>
    <w:rsid w:val="00633F67"/>
    <w:rsid w:val="006345C3"/>
    <w:rsid w:val="0063530F"/>
    <w:rsid w:val="006362F9"/>
    <w:rsid w:val="006369A9"/>
    <w:rsid w:val="006373CD"/>
    <w:rsid w:val="00637E7B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DB"/>
    <w:rsid w:val="00680F46"/>
    <w:rsid w:val="00681FDC"/>
    <w:rsid w:val="00682B53"/>
    <w:rsid w:val="00682F27"/>
    <w:rsid w:val="006859DB"/>
    <w:rsid w:val="0068615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D5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6F72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61ED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498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CFD"/>
    <w:rsid w:val="008C3FDC"/>
    <w:rsid w:val="008C47AD"/>
    <w:rsid w:val="008C4E93"/>
    <w:rsid w:val="008C603A"/>
    <w:rsid w:val="008C71C8"/>
    <w:rsid w:val="008D167D"/>
    <w:rsid w:val="008D1E46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2E34"/>
    <w:rsid w:val="009036BC"/>
    <w:rsid w:val="00903D30"/>
    <w:rsid w:val="00904414"/>
    <w:rsid w:val="00904F99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416"/>
    <w:rsid w:val="00990C0E"/>
    <w:rsid w:val="00990D75"/>
    <w:rsid w:val="00991093"/>
    <w:rsid w:val="0099163B"/>
    <w:rsid w:val="00991EAE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90B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28E4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4E58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67FF"/>
    <w:rsid w:val="00A5765D"/>
    <w:rsid w:val="00A579BD"/>
    <w:rsid w:val="00A607CB"/>
    <w:rsid w:val="00A613FC"/>
    <w:rsid w:val="00A6276B"/>
    <w:rsid w:val="00A6351F"/>
    <w:rsid w:val="00A63809"/>
    <w:rsid w:val="00A64278"/>
    <w:rsid w:val="00A643E5"/>
    <w:rsid w:val="00A64A6E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F78"/>
    <w:rsid w:val="00A979E1"/>
    <w:rsid w:val="00AA0B9E"/>
    <w:rsid w:val="00AA0C74"/>
    <w:rsid w:val="00AA1087"/>
    <w:rsid w:val="00AA13A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E05"/>
    <w:rsid w:val="00BD598A"/>
    <w:rsid w:val="00BD5C7A"/>
    <w:rsid w:val="00BD6826"/>
    <w:rsid w:val="00BD723F"/>
    <w:rsid w:val="00BD75B4"/>
    <w:rsid w:val="00BD7D14"/>
    <w:rsid w:val="00BE02B4"/>
    <w:rsid w:val="00BE28C1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DA5"/>
    <w:rsid w:val="00C03309"/>
    <w:rsid w:val="00C037E0"/>
    <w:rsid w:val="00C072FE"/>
    <w:rsid w:val="00C11090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2D3F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529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70084"/>
    <w:rsid w:val="00C7090B"/>
    <w:rsid w:val="00C715CF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41E8"/>
    <w:rsid w:val="00CE553D"/>
    <w:rsid w:val="00CE6E3E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17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4DD9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3029"/>
    <w:rsid w:val="00DD31A8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5BB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10A"/>
    <w:rsid w:val="00E37BE5"/>
    <w:rsid w:val="00E4090F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0E5D"/>
    <w:rsid w:val="00F22183"/>
    <w:rsid w:val="00F2260F"/>
    <w:rsid w:val="00F23174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3E20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4EB"/>
    <w:rsid w:val="00FF6822"/>
    <w:rsid w:val="00FF73D0"/>
    <w:rsid w:val="10E807B4"/>
    <w:rsid w:val="141204DA"/>
    <w:rsid w:val="16512788"/>
    <w:rsid w:val="1A219784"/>
    <w:rsid w:val="20933804"/>
    <w:rsid w:val="23FCD971"/>
    <w:rsid w:val="32975CEE"/>
    <w:rsid w:val="3E61DC49"/>
    <w:rsid w:val="6234E960"/>
    <w:rsid w:val="7CD49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454412BD-182D-4445-AA50-0747FFAFA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66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1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3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5AIRPNAIUNRU-1830940522-21714</_dlc_DocId>
    <_dlc_DocIdUrl xmlns="71c5aaf6-e6ce-465b-b873-5148d2a4c105">
      <Url>https://nokia.sharepoint.com/sites/c5g/5gradio/_layouts/15/DocIdRedir.aspx?ID=5AIRPNAIUNRU-1830940522-21714</Url>
      <Description>5AIRPNAIUNRU-1830940522-21714</Description>
    </_dlc_DocIdUrl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9" ma:contentTypeDescription="Create a new document." ma:contentTypeScope="" ma:versionID="4c7be3a91c56eef1e4803cc30aef3ab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073d18c154f6e039dfdceb41f5def9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documentManagement/types"/>
    <ds:schemaRef ds:uri="http://www.w3.org/XML/1998/namespace"/>
    <ds:schemaRef ds:uri="95d2e41d-1f11-4347-bb1c-11d6a32975dd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http://purl.org/dc/terms/"/>
    <ds:schemaRef ds:uri="http://purl.org/dc/elements/1.1/"/>
    <ds:schemaRef ds:uri="ebabf6ce-2443-438c-9946-ecc878e7654a"/>
    <ds:schemaRef ds:uri="71c5aaf6-e6ce-465b-b873-5148d2a4c10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9EF9C11-4932-43C7-A78B-C1252F9F0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860</Words>
  <Characters>4586</Characters>
  <Application>Microsoft Office Word</Application>
  <DocSecurity>0</DocSecurity>
  <Lines>38</Lines>
  <Paragraphs>10</Paragraphs>
  <ScaleCrop>false</ScaleCrop>
  <Company>Nokia &amp; NSN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18</cp:revision>
  <cp:lastPrinted>2016-06-20T21:35:00Z</cp:lastPrinted>
  <dcterms:created xsi:type="dcterms:W3CDTF">2023-06-21T07:01:00Z</dcterms:created>
  <dcterms:modified xsi:type="dcterms:W3CDTF">2023-08-09T11:40:00Z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ab20dc88-ae74-43dd-aa9a-81df21d00f12</vt:lpwstr>
  </property>
</Properties>
</file>